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71FC" w14:textId="77777777" w:rsidR="00B8519E" w:rsidRPr="00C259FE" w:rsidRDefault="00B8519E" w:rsidP="00B8519E">
      <w:pPr>
        <w:spacing w:before="120" w:after="120"/>
        <w:rPr>
          <w:rFonts w:ascii="Arial" w:hAnsi="Arial" w:cs="Arial"/>
          <w:b/>
          <w:bCs/>
        </w:rPr>
      </w:pPr>
      <w:r w:rsidRPr="00C259FE">
        <w:rPr>
          <w:rFonts w:ascii="Arial" w:hAnsi="Arial" w:cs="Arial"/>
          <w:b/>
          <w:bCs/>
        </w:rPr>
        <w:t>Update on the revised Level 3 Food Science and Nutrition qualification</w:t>
      </w:r>
    </w:p>
    <w:p w14:paraId="40528140" w14:textId="4767C3B9" w:rsidR="00B8519E" w:rsidRPr="00C259FE" w:rsidRDefault="00B8519E" w:rsidP="00B8519E">
      <w:pPr>
        <w:spacing w:before="120" w:after="120"/>
        <w:rPr>
          <w:rFonts w:ascii="Arial" w:hAnsi="Arial" w:cs="Arial"/>
        </w:rPr>
      </w:pPr>
      <w:r w:rsidRPr="00C259FE">
        <w:rPr>
          <w:rFonts w:ascii="Arial" w:hAnsi="Arial" w:cs="Arial"/>
        </w:rPr>
        <w:t xml:space="preserve">The Level 3 Alternative Academic Qualification in </w:t>
      </w:r>
      <w:r w:rsidRPr="00C259FE">
        <w:rPr>
          <w:rFonts w:ascii="Arial" w:hAnsi="Arial" w:cs="Arial"/>
          <w:b/>
          <w:bCs/>
        </w:rPr>
        <w:t>Food Science and Nutrition</w:t>
      </w:r>
      <w:r w:rsidRPr="00262F81">
        <w:rPr>
          <w:rFonts w:ascii="Arial" w:hAnsi="Arial" w:cs="Arial"/>
          <w:b/>
          <w:bCs/>
        </w:rPr>
        <w:t xml:space="preserve"> </w:t>
      </w:r>
      <w:r w:rsidRPr="00C259FE">
        <w:rPr>
          <w:rFonts w:ascii="Arial" w:hAnsi="Arial" w:cs="Arial"/>
        </w:rPr>
        <w:t xml:space="preserve">(Certificate and Extended Certificate) qualification, which will be introduced for </w:t>
      </w:r>
      <w:r w:rsidRPr="00C259FE">
        <w:rPr>
          <w:rFonts w:ascii="Arial" w:hAnsi="Arial" w:cs="Arial"/>
          <w:b/>
          <w:bCs/>
        </w:rPr>
        <w:t>first teaching this September</w:t>
      </w:r>
      <w:r w:rsidRPr="00C259FE">
        <w:rPr>
          <w:rFonts w:ascii="Arial" w:hAnsi="Arial" w:cs="Arial"/>
        </w:rPr>
        <w:t>, builds on the strengths of the legacy qualification while addressing key issues raised by teachers</w:t>
      </w:r>
      <w:r w:rsidRPr="00262F81">
        <w:rPr>
          <w:rFonts w:ascii="Arial" w:hAnsi="Arial" w:cs="Arial"/>
        </w:rPr>
        <w:t xml:space="preserve"> and other stakeholders</w:t>
      </w:r>
      <w:r w:rsidRPr="00C259FE">
        <w:rPr>
          <w:rFonts w:ascii="Arial" w:hAnsi="Arial" w:cs="Arial"/>
        </w:rPr>
        <w:t>, including:</w:t>
      </w:r>
    </w:p>
    <w:p w14:paraId="383550A3" w14:textId="77777777" w:rsidR="00B8519E" w:rsidRPr="00C259FE" w:rsidRDefault="00B8519E" w:rsidP="00B8519E">
      <w:pPr>
        <w:numPr>
          <w:ilvl w:val="0"/>
          <w:numId w:val="1"/>
        </w:numPr>
        <w:tabs>
          <w:tab w:val="clear" w:pos="360"/>
          <w:tab w:val="num" w:pos="720"/>
        </w:tabs>
        <w:spacing w:before="120" w:after="120"/>
        <w:rPr>
          <w:rFonts w:ascii="Arial" w:hAnsi="Arial" w:cs="Arial"/>
        </w:rPr>
      </w:pPr>
      <w:r w:rsidRPr="00C259FE">
        <w:rPr>
          <w:rFonts w:ascii="Arial" w:hAnsi="Arial" w:cs="Arial"/>
          <w:b/>
          <w:bCs/>
        </w:rPr>
        <w:t>Improved UCAS parity:</w:t>
      </w:r>
      <w:r w:rsidRPr="00C259FE">
        <w:rPr>
          <w:rFonts w:ascii="Arial" w:hAnsi="Arial" w:cs="Arial"/>
        </w:rPr>
        <w:t xml:space="preserve"> The previous P/M/D/D* grade scale resulted in a narrower UCAS tariff range than A Levels, disadvantaging learners in higher</w:t>
      </w:r>
      <w:r w:rsidRPr="00C259FE">
        <w:rPr>
          <w:rFonts w:ascii="Arial" w:hAnsi="Arial" w:cs="Arial"/>
        </w:rPr>
        <w:noBreakHyphen/>
        <w:t xml:space="preserve">education applications. The revised </w:t>
      </w:r>
      <w:r w:rsidRPr="00262F81">
        <w:rPr>
          <w:rFonts w:ascii="Arial" w:hAnsi="Arial" w:cs="Arial"/>
        </w:rPr>
        <w:t>A*-E grade scale</w:t>
      </w:r>
      <w:r w:rsidRPr="00C259FE">
        <w:rPr>
          <w:rFonts w:ascii="Arial" w:hAnsi="Arial" w:cs="Arial"/>
        </w:rPr>
        <w:t xml:space="preserve"> provides more equitable progression opportunities.</w:t>
      </w:r>
    </w:p>
    <w:p w14:paraId="706355A1" w14:textId="77777777" w:rsidR="00B8519E" w:rsidRPr="00262F81" w:rsidRDefault="00B8519E" w:rsidP="00B8519E">
      <w:pPr>
        <w:numPr>
          <w:ilvl w:val="0"/>
          <w:numId w:val="1"/>
        </w:numPr>
        <w:tabs>
          <w:tab w:val="clear" w:pos="360"/>
          <w:tab w:val="num" w:pos="720"/>
        </w:tabs>
        <w:spacing w:before="120" w:after="120"/>
        <w:rPr>
          <w:rFonts w:ascii="Arial" w:hAnsi="Arial" w:cs="Arial"/>
        </w:rPr>
      </w:pPr>
      <w:r w:rsidRPr="00C259FE">
        <w:rPr>
          <w:rFonts w:ascii="Arial" w:hAnsi="Arial" w:cs="Arial"/>
          <w:b/>
          <w:bCs/>
        </w:rPr>
        <w:t>Removal of the ‘hidden hurdle’:</w:t>
      </w:r>
      <w:r w:rsidRPr="00C259FE">
        <w:rPr>
          <w:rFonts w:ascii="Arial" w:hAnsi="Arial" w:cs="Arial"/>
        </w:rPr>
        <w:t xml:space="preserve"> Under the legacy model, learners were required to achieve (or nearly achieve) a pass in </w:t>
      </w:r>
      <w:r w:rsidRPr="00262F81">
        <w:rPr>
          <w:rFonts w:ascii="Arial" w:hAnsi="Arial" w:cs="Arial"/>
        </w:rPr>
        <w:t>all units</w:t>
      </w:r>
      <w:r w:rsidRPr="00C259FE">
        <w:rPr>
          <w:rFonts w:ascii="Arial" w:hAnsi="Arial" w:cs="Arial"/>
        </w:rPr>
        <w:t xml:space="preserve"> </w:t>
      </w:r>
      <w:r>
        <w:rPr>
          <w:rFonts w:ascii="Arial" w:hAnsi="Arial" w:cs="Arial"/>
        </w:rPr>
        <w:t xml:space="preserve">to </w:t>
      </w:r>
      <w:r w:rsidRPr="00C259FE">
        <w:rPr>
          <w:rFonts w:ascii="Arial" w:hAnsi="Arial" w:cs="Arial"/>
        </w:rPr>
        <w:t>achieve the qualification overall. The updated qualification resolves this issue, supporting fairer outcomes for students.</w:t>
      </w:r>
    </w:p>
    <w:p w14:paraId="2DD8E837" w14:textId="77777777" w:rsidR="00B8519E" w:rsidRPr="00262F81" w:rsidRDefault="00B8519E" w:rsidP="00B8519E">
      <w:pPr>
        <w:pStyle w:val="ListParagraph"/>
        <w:numPr>
          <w:ilvl w:val="0"/>
          <w:numId w:val="1"/>
        </w:numPr>
        <w:spacing w:before="120" w:after="120"/>
        <w:contextualSpacing w:val="0"/>
        <w:rPr>
          <w:rFonts w:ascii="Arial" w:eastAsia="Times New Roman" w:hAnsi="Arial" w:cs="Arial"/>
          <w:kern w:val="0"/>
          <w:lang w:eastAsia="en-GB"/>
          <w14:ligatures w14:val="none"/>
        </w:rPr>
      </w:pPr>
      <w:r w:rsidRPr="00262F81">
        <w:rPr>
          <w:rFonts w:ascii="Arial" w:eastAsia="Times New Roman" w:hAnsi="Arial" w:cs="Arial"/>
          <w:b/>
          <w:bCs/>
          <w:kern w:val="0"/>
          <w:lang w:eastAsia="en-GB"/>
          <w14:ligatures w14:val="none"/>
        </w:rPr>
        <w:t>Reduced assessment burden:</w:t>
      </w:r>
      <w:r w:rsidRPr="00262F81">
        <w:rPr>
          <w:rFonts w:ascii="Arial" w:eastAsia="Times New Roman" w:hAnsi="Arial" w:cs="Arial"/>
          <w:kern w:val="0"/>
          <w:lang w:eastAsia="en-GB"/>
          <w14:ligatures w14:val="none"/>
        </w:rPr>
        <w:t xml:space="preserve"> Total assessment time has been reduced from 33 hours in the legacy qualification to </w:t>
      </w:r>
      <w:r w:rsidRPr="00262F81">
        <w:rPr>
          <w:rFonts w:ascii="Arial" w:eastAsia="Times New Roman" w:hAnsi="Arial" w:cs="Arial"/>
          <w:b/>
          <w:bCs/>
          <w:kern w:val="0"/>
          <w:lang w:eastAsia="en-GB"/>
          <w14:ligatures w14:val="none"/>
        </w:rPr>
        <w:t>26.5 hours</w:t>
      </w:r>
      <w:r w:rsidRPr="00262F81">
        <w:rPr>
          <w:rFonts w:ascii="Arial" w:eastAsia="Times New Roman" w:hAnsi="Arial" w:cs="Arial"/>
          <w:kern w:val="0"/>
          <w:lang w:eastAsia="en-GB"/>
          <w14:ligatures w14:val="none"/>
        </w:rPr>
        <w:t xml:space="preserve"> in the updated model, supporting a more balanced experience for learners and centres. </w:t>
      </w:r>
    </w:p>
    <w:p w14:paraId="75516104" w14:textId="77777777" w:rsidR="00B8519E" w:rsidRPr="00262F81" w:rsidRDefault="00B8519E" w:rsidP="00B8519E">
      <w:pPr>
        <w:pStyle w:val="ListParagraph"/>
        <w:numPr>
          <w:ilvl w:val="0"/>
          <w:numId w:val="1"/>
        </w:numPr>
        <w:spacing w:before="120" w:after="120"/>
        <w:contextualSpacing w:val="0"/>
        <w:rPr>
          <w:rFonts w:ascii="Arial" w:eastAsia="Times New Roman" w:hAnsi="Arial" w:cs="Arial"/>
          <w:kern w:val="0"/>
          <w:lang w:eastAsia="en-GB"/>
          <w14:ligatures w14:val="none"/>
        </w:rPr>
      </w:pPr>
      <w:r w:rsidRPr="00262F81">
        <w:rPr>
          <w:rFonts w:ascii="Arial" w:eastAsia="Times New Roman" w:hAnsi="Arial" w:cs="Arial"/>
          <w:b/>
          <w:bCs/>
          <w:kern w:val="0"/>
          <w:lang w:eastAsia="en-GB"/>
          <w14:ligatures w14:val="none"/>
        </w:rPr>
        <w:t>Streamlined and modernised content:</w:t>
      </w:r>
      <w:r w:rsidRPr="00262F81">
        <w:rPr>
          <w:rFonts w:ascii="Arial" w:eastAsia="Times New Roman" w:hAnsi="Arial" w:cs="Arial"/>
          <w:kern w:val="0"/>
          <w:lang w:eastAsia="en-GB"/>
          <w14:ligatures w14:val="none"/>
        </w:rPr>
        <w:t xml:space="preserve"> Outdated material has been removed to ensure the qualification reflects current industry practice and contemporary scientific understanding. </w:t>
      </w:r>
    </w:p>
    <w:p w14:paraId="028B7129" w14:textId="6A145B2E" w:rsidR="00B8519E" w:rsidRPr="00B8519E" w:rsidRDefault="00B8519E" w:rsidP="00B8519E">
      <w:pPr>
        <w:pStyle w:val="ListParagraph"/>
        <w:numPr>
          <w:ilvl w:val="0"/>
          <w:numId w:val="1"/>
        </w:numPr>
        <w:spacing w:before="120" w:after="120"/>
        <w:contextualSpacing w:val="0"/>
        <w:rPr>
          <w:rFonts w:ascii="Arial" w:eastAsia="Times New Roman" w:hAnsi="Arial" w:cs="Arial"/>
          <w:kern w:val="0"/>
          <w:lang w:eastAsia="en-GB"/>
          <w14:ligatures w14:val="none"/>
        </w:rPr>
      </w:pPr>
      <w:r w:rsidRPr="00262F81">
        <w:rPr>
          <w:rFonts w:ascii="Arial" w:eastAsia="Times New Roman" w:hAnsi="Arial" w:cs="Arial"/>
          <w:b/>
          <w:bCs/>
          <w:kern w:val="0"/>
          <w:lang w:eastAsia="en-GB"/>
          <w14:ligatures w14:val="none"/>
        </w:rPr>
        <w:t>Clearer structure with dedicated practical learning:</w:t>
      </w:r>
      <w:r w:rsidRPr="00262F81">
        <w:rPr>
          <w:rFonts w:ascii="Arial" w:eastAsia="Times New Roman" w:hAnsi="Arial" w:cs="Arial"/>
          <w:kern w:val="0"/>
          <w:lang w:eastAsia="en-GB"/>
          <w14:ligatures w14:val="none"/>
        </w:rPr>
        <w:t xml:space="preserve"> The former Unit 1 has been divided into two distinct units, allowing for a </w:t>
      </w:r>
      <w:r w:rsidRPr="00262F81">
        <w:rPr>
          <w:rFonts w:ascii="Arial" w:eastAsia="Times New Roman" w:hAnsi="Arial" w:cs="Arial"/>
          <w:b/>
          <w:bCs/>
          <w:kern w:val="0"/>
          <w:lang w:eastAsia="en-GB"/>
          <w14:ligatures w14:val="none"/>
        </w:rPr>
        <w:t>standalone practical unit</w:t>
      </w:r>
      <w:r w:rsidRPr="00262F81">
        <w:rPr>
          <w:rFonts w:ascii="Arial" w:eastAsia="Times New Roman" w:hAnsi="Arial" w:cs="Arial"/>
          <w:kern w:val="0"/>
          <w:lang w:eastAsia="en-GB"/>
          <w14:ligatures w14:val="none"/>
        </w:rPr>
        <w:t xml:space="preserve"> that gives learners more focused hands</w:t>
      </w:r>
      <w:r w:rsidRPr="00262F81">
        <w:rPr>
          <w:rFonts w:ascii="Arial" w:eastAsia="Times New Roman" w:hAnsi="Arial" w:cs="Arial"/>
          <w:kern w:val="0"/>
          <w:lang w:eastAsia="en-GB"/>
          <w14:ligatures w14:val="none"/>
        </w:rPr>
        <w:noBreakHyphen/>
        <w:t>on experience and makes teaching and assessment more manageable.</w:t>
      </w:r>
    </w:p>
    <w:p w14:paraId="3A80EDB0" w14:textId="77777777" w:rsidR="00B8519E" w:rsidRPr="002254D7" w:rsidRDefault="00B8519E" w:rsidP="00B8519E">
      <w:pPr>
        <w:spacing w:after="0"/>
        <w:rPr>
          <w:rFonts w:ascii="Arial" w:hAnsi="Arial" w:cs="Arial"/>
        </w:rPr>
      </w:pPr>
      <w:r w:rsidRPr="002254D7">
        <w:rPr>
          <w:rFonts w:ascii="Arial" w:hAnsi="Arial" w:cs="Arial"/>
        </w:rPr>
        <w:t>We worked closely with a broad range of stakeholders during the development of our new qualifications to ensure that both the content and assessment approach align with the expectations of higher education and industry.</w:t>
      </w:r>
    </w:p>
    <w:p w14:paraId="7F2B50D4" w14:textId="77777777" w:rsidR="00B8519E" w:rsidRDefault="00B8519E" w:rsidP="00B8519E">
      <w:pPr>
        <w:spacing w:after="0"/>
        <w:rPr>
          <w:rFonts w:ascii="Arial" w:hAnsi="Arial" w:cs="Arial"/>
        </w:rPr>
      </w:pPr>
    </w:p>
    <w:p w14:paraId="3BC8C855" w14:textId="77777777" w:rsidR="00B8519E" w:rsidRPr="002254D7" w:rsidRDefault="00B8519E" w:rsidP="00B8519E">
      <w:pPr>
        <w:spacing w:after="0"/>
        <w:rPr>
          <w:rFonts w:ascii="Arial" w:hAnsi="Arial" w:cs="Arial"/>
        </w:rPr>
      </w:pPr>
      <w:r w:rsidRPr="002254D7">
        <w:rPr>
          <w:rFonts w:ascii="Arial" w:hAnsi="Arial" w:cs="Arial"/>
        </w:rPr>
        <w:t>The qualification content was informed by research undertaken by the British Nutrition Foundation and the Food Teachers Centre in February 2024, which brought together teachers, practitioners, employers and industry representatives to identify the knowledge and skills required for further study and employment in the food sector.</w:t>
      </w:r>
    </w:p>
    <w:p w14:paraId="20BA2D56" w14:textId="77777777" w:rsidR="00B8519E" w:rsidRDefault="00B8519E" w:rsidP="00B8519E">
      <w:pPr>
        <w:spacing w:after="0"/>
        <w:rPr>
          <w:rFonts w:ascii="Arial" w:hAnsi="Arial" w:cs="Arial"/>
        </w:rPr>
      </w:pPr>
    </w:p>
    <w:p w14:paraId="216A0885" w14:textId="77777777" w:rsidR="00B8519E" w:rsidRPr="002254D7" w:rsidRDefault="00B8519E" w:rsidP="00B8519E">
      <w:pPr>
        <w:spacing w:after="0"/>
        <w:rPr>
          <w:rFonts w:ascii="Arial" w:hAnsi="Arial" w:cs="Arial"/>
        </w:rPr>
      </w:pPr>
      <w:r w:rsidRPr="002254D7">
        <w:rPr>
          <w:rFonts w:ascii="Arial" w:hAnsi="Arial" w:cs="Arial"/>
        </w:rPr>
        <w:t>The new qualifications have been very positively received by a wide range of universities, as evidenced by the following quotes:</w:t>
      </w:r>
    </w:p>
    <w:p w14:paraId="7BD5ACB5" w14:textId="77777777" w:rsidR="00B8519E" w:rsidRPr="002E3E0C" w:rsidRDefault="00B8519E" w:rsidP="00B8519E">
      <w:pPr>
        <w:spacing w:after="0"/>
      </w:pPr>
    </w:p>
    <w:p w14:paraId="4F4F8627" w14:textId="77777777" w:rsidR="00B8519E" w:rsidRPr="009B6DE6" w:rsidRDefault="00B8519E" w:rsidP="00B8519E">
      <w:pPr>
        <w:spacing w:after="0" w:line="240" w:lineRule="auto"/>
        <w:rPr>
          <w:rFonts w:cs="Arial"/>
          <w:i/>
          <w:iCs/>
        </w:rPr>
      </w:pPr>
      <w:r w:rsidRPr="009B6DE6">
        <w:rPr>
          <w:rFonts w:cs="Arial"/>
          <w:i/>
          <w:iCs/>
        </w:rPr>
        <w:t>We are impressed by the qualification’s focus on both food science and nutrition. After reading the content and assessment of the units we feel the new programme bridges the gap between academic theory and practical application, preparing learners for food and/or nutrition higher education and relevant careers. The curriculum’s emphasis on applied learning ensures that students develop research, analytical, and practical skills that will benefit them in university courses and beyond.</w:t>
      </w:r>
    </w:p>
    <w:p w14:paraId="38DA5D4F" w14:textId="77777777" w:rsidR="00B8519E" w:rsidRPr="002E3E0C" w:rsidRDefault="00B8519E" w:rsidP="00B8519E">
      <w:pPr>
        <w:spacing w:after="0" w:line="240" w:lineRule="auto"/>
        <w:jc w:val="right"/>
        <w:rPr>
          <w:rFonts w:cs="Arial"/>
        </w:rPr>
      </w:pPr>
      <w:r>
        <w:rPr>
          <w:rFonts w:cs="Arial"/>
        </w:rPr>
        <w:t xml:space="preserve">Course leaders, </w:t>
      </w:r>
      <w:r w:rsidRPr="00EC6E6A">
        <w:rPr>
          <w:rFonts w:cs="Arial"/>
        </w:rPr>
        <w:t>BSc Food with Nutrition</w:t>
      </w:r>
      <w:r>
        <w:rPr>
          <w:rFonts w:cs="Arial"/>
        </w:rPr>
        <w:t xml:space="preserve"> and BSc Human Nutrition, Bath Spa University</w:t>
      </w:r>
    </w:p>
    <w:p w14:paraId="2C3A830E" w14:textId="77777777" w:rsidR="00B8519E" w:rsidRDefault="00B8519E" w:rsidP="00B8519E">
      <w:pPr>
        <w:spacing w:after="0" w:line="240" w:lineRule="auto"/>
        <w:rPr>
          <w:rFonts w:cs="Arial"/>
        </w:rPr>
      </w:pPr>
    </w:p>
    <w:p w14:paraId="5BC28461" w14:textId="77777777" w:rsidR="00B8519E" w:rsidRDefault="00B8519E" w:rsidP="00B8519E">
      <w:pPr>
        <w:spacing w:after="0" w:line="240" w:lineRule="auto"/>
        <w:rPr>
          <w:rFonts w:cs="Arial"/>
        </w:rPr>
      </w:pPr>
    </w:p>
    <w:p w14:paraId="505D6457" w14:textId="77777777" w:rsidR="00B8519E" w:rsidRPr="009B6DE6" w:rsidRDefault="00B8519E" w:rsidP="00B8519E">
      <w:pPr>
        <w:spacing w:after="0" w:line="240" w:lineRule="auto"/>
        <w:rPr>
          <w:rFonts w:cs="Arial"/>
          <w:i/>
          <w:iCs/>
        </w:rPr>
      </w:pPr>
      <w:r w:rsidRPr="006C2F44">
        <w:rPr>
          <w:rFonts w:cs="Arial"/>
          <w:i/>
          <w:iCs/>
        </w:rPr>
        <w:lastRenderedPageBreak/>
        <w:t>I have reviewed the proposed Level 3 Alternative Academic Qualification in Food Science and Nutrition and find it to be a well-rounded and comprehensive programme, covering all the key topics we would expect at this level.</w:t>
      </w:r>
    </w:p>
    <w:p w14:paraId="29DF350C" w14:textId="77777777" w:rsidR="00B8519E" w:rsidRPr="006C2F44" w:rsidRDefault="00B8519E" w:rsidP="00B8519E">
      <w:pPr>
        <w:spacing w:after="0" w:line="240" w:lineRule="auto"/>
        <w:rPr>
          <w:rFonts w:cs="Arial"/>
          <w:i/>
          <w:iCs/>
        </w:rPr>
      </w:pPr>
    </w:p>
    <w:p w14:paraId="7302E639" w14:textId="77777777" w:rsidR="00B8519E" w:rsidRPr="006C2F44" w:rsidRDefault="00B8519E" w:rsidP="00B8519E">
      <w:pPr>
        <w:spacing w:after="0" w:line="240" w:lineRule="auto"/>
        <w:rPr>
          <w:rFonts w:cs="Arial"/>
          <w:i/>
          <w:iCs/>
        </w:rPr>
      </w:pPr>
      <w:r w:rsidRPr="006C2F44">
        <w:rPr>
          <w:rFonts w:cs="Arial"/>
          <w:i/>
          <w:iCs/>
        </w:rPr>
        <w:t>As a representative of the degree food programmes at Harper Adams University, I believe this qualification would provide an excellent foundation for students wishing to progress onto any of our degree-level food programmes.</w:t>
      </w:r>
    </w:p>
    <w:p w14:paraId="514702E1" w14:textId="77777777" w:rsidR="00B8519E" w:rsidRDefault="00B8519E" w:rsidP="00B8519E">
      <w:pPr>
        <w:spacing w:after="0" w:line="240" w:lineRule="auto"/>
        <w:rPr>
          <w:rFonts w:cs="Arial"/>
        </w:rPr>
      </w:pPr>
    </w:p>
    <w:p w14:paraId="6B448150" w14:textId="2C465A6A" w:rsidR="0057216B" w:rsidRDefault="00B8519E" w:rsidP="00B8519E">
      <w:r w:rsidRPr="006C2F44">
        <w:rPr>
          <w:rFonts w:cs="Arial"/>
        </w:rPr>
        <w:t>Senior Lecturer Food Safety Culture and Operations</w:t>
      </w:r>
      <w:r>
        <w:rPr>
          <w:rFonts w:cs="Arial"/>
        </w:rPr>
        <w:t xml:space="preserve">, </w:t>
      </w:r>
      <w:r w:rsidRPr="006C2F44">
        <w:rPr>
          <w:rFonts w:cs="Arial"/>
        </w:rPr>
        <w:t>Harper Adams University</w:t>
      </w:r>
    </w:p>
    <w:sectPr w:rsidR="0057216B">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30CC" w14:textId="77777777" w:rsidR="001A5E98" w:rsidRDefault="001A5E98" w:rsidP="00B8519E">
      <w:pPr>
        <w:spacing w:after="0" w:line="240" w:lineRule="auto"/>
      </w:pPr>
      <w:r>
        <w:separator/>
      </w:r>
    </w:p>
  </w:endnote>
  <w:endnote w:type="continuationSeparator" w:id="0">
    <w:p w14:paraId="4407CE0E" w14:textId="77777777" w:rsidR="001A5E98" w:rsidRDefault="001A5E98" w:rsidP="00B8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D5B" w14:textId="77777777" w:rsidR="001A5E98" w:rsidRDefault="001A5E98" w:rsidP="00B8519E">
      <w:pPr>
        <w:spacing w:after="0" w:line="240" w:lineRule="auto"/>
      </w:pPr>
      <w:r>
        <w:separator/>
      </w:r>
    </w:p>
  </w:footnote>
  <w:footnote w:type="continuationSeparator" w:id="0">
    <w:p w14:paraId="4B256E0D" w14:textId="77777777" w:rsidR="001A5E98" w:rsidRDefault="001A5E98" w:rsidP="00B8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AC62" w14:textId="07723381" w:rsidR="00B8519E" w:rsidRDefault="00B8519E">
    <w:pPr>
      <w:pStyle w:val="Header"/>
    </w:pPr>
    <w:r>
      <w:rPr>
        <w:noProof/>
      </w:rPr>
      <mc:AlternateContent>
        <mc:Choice Requires="wps">
          <w:drawing>
            <wp:anchor distT="0" distB="0" distL="0" distR="0" simplePos="0" relativeHeight="251659264" behindDoc="0" locked="0" layoutInCell="1" allowOverlap="1" wp14:anchorId="432E9050" wp14:editId="7D2E8971">
              <wp:simplePos x="635" y="635"/>
              <wp:positionH relativeFrom="page">
                <wp:align>center</wp:align>
              </wp:positionH>
              <wp:positionV relativeFrom="page">
                <wp:align>top</wp:align>
              </wp:positionV>
              <wp:extent cx="1184275" cy="357505"/>
              <wp:effectExtent l="0" t="0" r="15875" b="4445"/>
              <wp:wrapNone/>
              <wp:docPr id="299522799" name="Text Box 2"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4275" cy="357505"/>
                      </a:xfrm>
                      <a:prstGeom prst="rect">
                        <a:avLst/>
                      </a:prstGeom>
                      <a:noFill/>
                      <a:ln>
                        <a:noFill/>
                      </a:ln>
                    </wps:spPr>
                    <wps:txbx>
                      <w:txbxContent>
                        <w:p w14:paraId="69A71315" w14:textId="49940543" w:rsidR="00B8519E" w:rsidRPr="00B8519E" w:rsidRDefault="00B8519E" w:rsidP="00B8519E">
                          <w:pPr>
                            <w:spacing w:after="0"/>
                            <w:rPr>
                              <w:rFonts w:ascii="Aptos" w:eastAsia="Aptos" w:hAnsi="Aptos" w:cs="Aptos"/>
                              <w:noProof/>
                              <w:color w:val="000000"/>
                              <w:sz w:val="20"/>
                              <w:szCs w:val="20"/>
                            </w:rPr>
                          </w:pPr>
                          <w:r w:rsidRPr="00B8519E">
                            <w:rPr>
                              <w:rFonts w:ascii="Aptos" w:eastAsia="Aptos" w:hAnsi="Aptos" w:cs="Aptos"/>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E9050" id="_x0000_t202" coordsize="21600,21600" o:spt="202" path="m,l,21600r21600,l21600,xe">
              <v:stroke joinstyle="miter"/>
              <v:path gradientshapeok="t" o:connecttype="rect"/>
            </v:shapetype>
            <v:shape id="Text Box 2" o:spid="_x0000_s1026" type="#_x0000_t202" alt="MEWNOL - INTERNAL" style="position:absolute;margin-left:0;margin-top:0;width:93.2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" filled="f" stroked="f">
              <v:fill o:detectmouseclick="t"/>
              <v:textbox style="mso-fit-shape-to-text:t" inset="0,15pt,0,0">
                <w:txbxContent>
                  <w:p w14:paraId="69A71315" w14:textId="49940543" w:rsidR="00B8519E" w:rsidRPr="00B8519E" w:rsidRDefault="00B8519E" w:rsidP="00B8519E">
                    <w:pPr>
                      <w:spacing w:after="0"/>
                      <w:rPr>
                        <w:rFonts w:ascii="Aptos" w:eastAsia="Aptos" w:hAnsi="Aptos" w:cs="Aptos"/>
                        <w:noProof/>
                        <w:color w:val="000000"/>
                        <w:sz w:val="20"/>
                        <w:szCs w:val="20"/>
                      </w:rPr>
                    </w:pPr>
                    <w:r w:rsidRPr="00B8519E">
                      <w:rPr>
                        <w:rFonts w:ascii="Aptos" w:eastAsia="Aptos" w:hAnsi="Aptos" w:cs="Aptos"/>
                        <w:noProof/>
                        <w:color w:val="000000"/>
                        <w:sz w:val="20"/>
                        <w:szCs w:val="20"/>
                      </w:rPr>
                      <w:t>MEWNOL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1852" w14:textId="5DD08049" w:rsidR="00D9626A" w:rsidRDefault="00D9626A">
    <w:pPr>
      <w:pStyle w:val="Header"/>
    </w:pPr>
    <w:r>
      <w:tab/>
    </w:r>
    <w:r>
      <w:tab/>
    </w:r>
    <w:r>
      <w:rPr>
        <w:noProof/>
      </w:rPr>
      <w:drawing>
        <wp:inline distT="0" distB="0" distL="0" distR="0" wp14:anchorId="22D6542D" wp14:editId="2D98625A">
          <wp:extent cx="1247357" cy="609600"/>
          <wp:effectExtent l="0" t="0" r="0" b="0"/>
          <wp:docPr id="1071594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94673" name="Picture 1071594673"/>
                  <pic:cNvPicPr/>
                </pic:nvPicPr>
                <pic:blipFill>
                  <a:blip r:embed="rId1">
                    <a:extLst>
                      <a:ext uri="{28A0092B-C50C-407E-A947-70E740481C1C}">
                        <a14:useLocalDpi xmlns:a14="http://schemas.microsoft.com/office/drawing/2010/main" val="0"/>
                      </a:ext>
                    </a:extLst>
                  </a:blip>
                  <a:stretch>
                    <a:fillRect/>
                  </a:stretch>
                </pic:blipFill>
                <pic:spPr>
                  <a:xfrm>
                    <a:off x="0" y="0"/>
                    <a:ext cx="1251705" cy="611725"/>
                  </a:xfrm>
                  <a:prstGeom prst="rect">
                    <a:avLst/>
                  </a:prstGeom>
                </pic:spPr>
              </pic:pic>
            </a:graphicData>
          </a:graphic>
        </wp:inline>
      </w:drawing>
    </w:r>
  </w:p>
  <w:p w14:paraId="15331135" w14:textId="7FB473A2" w:rsidR="00B8519E" w:rsidRDefault="00B85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98E1" w14:textId="46AB6835" w:rsidR="00B8519E" w:rsidRDefault="00B8519E">
    <w:pPr>
      <w:pStyle w:val="Header"/>
    </w:pPr>
    <w:r>
      <w:rPr>
        <w:noProof/>
      </w:rPr>
      <mc:AlternateContent>
        <mc:Choice Requires="wps">
          <w:drawing>
            <wp:anchor distT="0" distB="0" distL="0" distR="0" simplePos="0" relativeHeight="251658240" behindDoc="0" locked="0" layoutInCell="1" allowOverlap="1" wp14:anchorId="38C9A6A6" wp14:editId="738A2648">
              <wp:simplePos x="635" y="635"/>
              <wp:positionH relativeFrom="page">
                <wp:align>center</wp:align>
              </wp:positionH>
              <wp:positionV relativeFrom="page">
                <wp:align>top</wp:align>
              </wp:positionV>
              <wp:extent cx="1184275" cy="357505"/>
              <wp:effectExtent l="0" t="0" r="15875" b="4445"/>
              <wp:wrapNone/>
              <wp:docPr id="1742665150" name="Text Box 1"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4275" cy="357505"/>
                      </a:xfrm>
                      <a:prstGeom prst="rect">
                        <a:avLst/>
                      </a:prstGeom>
                      <a:noFill/>
                      <a:ln>
                        <a:noFill/>
                      </a:ln>
                    </wps:spPr>
                    <wps:txbx>
                      <w:txbxContent>
                        <w:p w14:paraId="269D9FFE" w14:textId="080FA09A" w:rsidR="00B8519E" w:rsidRPr="00B8519E" w:rsidRDefault="00B8519E" w:rsidP="00B8519E">
                          <w:pPr>
                            <w:spacing w:after="0"/>
                            <w:rPr>
                              <w:rFonts w:ascii="Aptos" w:eastAsia="Aptos" w:hAnsi="Aptos" w:cs="Aptos"/>
                              <w:noProof/>
                              <w:color w:val="000000"/>
                              <w:sz w:val="20"/>
                              <w:szCs w:val="20"/>
                            </w:rPr>
                          </w:pPr>
                          <w:r w:rsidRPr="00B8519E">
                            <w:rPr>
                              <w:rFonts w:ascii="Aptos" w:eastAsia="Aptos" w:hAnsi="Aptos" w:cs="Aptos"/>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9A6A6" id="_x0000_t202" coordsize="21600,21600" o:spt="202" path="m,l,21600r21600,l21600,xe">
              <v:stroke joinstyle="miter"/>
              <v:path gradientshapeok="t" o:connecttype="rect"/>
            </v:shapetype>
            <v:shape id="Text Box 1" o:spid="_x0000_s1027" type="#_x0000_t202" alt="MEWNOL - INTERNAL" style="position:absolute;margin-left:0;margin-top:0;width:93.2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4PCwIAABY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" filled="f" stroked="f">
              <v:fill o:detectmouseclick="t"/>
              <v:textbox style="mso-fit-shape-to-text:t" inset="0,15pt,0,0">
                <w:txbxContent>
                  <w:p w14:paraId="269D9FFE" w14:textId="080FA09A" w:rsidR="00B8519E" w:rsidRPr="00B8519E" w:rsidRDefault="00B8519E" w:rsidP="00B8519E">
                    <w:pPr>
                      <w:spacing w:after="0"/>
                      <w:rPr>
                        <w:rFonts w:ascii="Aptos" w:eastAsia="Aptos" w:hAnsi="Aptos" w:cs="Aptos"/>
                        <w:noProof/>
                        <w:color w:val="000000"/>
                        <w:sz w:val="20"/>
                        <w:szCs w:val="20"/>
                      </w:rPr>
                    </w:pPr>
                    <w:r w:rsidRPr="00B8519E">
                      <w:rPr>
                        <w:rFonts w:ascii="Aptos" w:eastAsia="Aptos" w:hAnsi="Aptos" w:cs="Aptos"/>
                        <w:noProof/>
                        <w:color w:val="000000"/>
                        <w:sz w:val="20"/>
                        <w:szCs w:val="20"/>
                      </w:rPr>
                      <w:t>MEWNOL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B1721"/>
    <w:multiLevelType w:val="multilevel"/>
    <w:tmpl w:val="E0223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9709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9E"/>
    <w:rsid w:val="001A5E98"/>
    <w:rsid w:val="00372325"/>
    <w:rsid w:val="004A4CDC"/>
    <w:rsid w:val="0057216B"/>
    <w:rsid w:val="00B62F34"/>
    <w:rsid w:val="00B8519E"/>
    <w:rsid w:val="00C268CB"/>
    <w:rsid w:val="00CD0B44"/>
    <w:rsid w:val="00D9626A"/>
    <w:rsid w:val="00ED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CB4CE"/>
  <w15:chartTrackingRefBased/>
  <w15:docId w15:val="{1FAAE395-BA35-43B1-9263-0B6F6D50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9E"/>
    <w:pPr>
      <w:spacing w:line="259" w:lineRule="auto"/>
    </w:pPr>
    <w:rPr>
      <w:sz w:val="22"/>
      <w:szCs w:val="22"/>
    </w:rPr>
  </w:style>
  <w:style w:type="paragraph" w:styleId="Heading1">
    <w:name w:val="heading 1"/>
    <w:basedOn w:val="Normal"/>
    <w:next w:val="Normal"/>
    <w:link w:val="Heading1Char"/>
    <w:uiPriority w:val="9"/>
    <w:qFormat/>
    <w:rsid w:val="00B85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19E"/>
    <w:rPr>
      <w:rFonts w:eastAsiaTheme="majorEastAsia" w:cstheme="majorBidi"/>
      <w:color w:val="272727" w:themeColor="text1" w:themeTint="D8"/>
    </w:rPr>
  </w:style>
  <w:style w:type="paragraph" w:styleId="Title">
    <w:name w:val="Title"/>
    <w:basedOn w:val="Normal"/>
    <w:next w:val="Normal"/>
    <w:link w:val="TitleChar"/>
    <w:uiPriority w:val="10"/>
    <w:qFormat/>
    <w:rsid w:val="00B85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19E"/>
    <w:pPr>
      <w:spacing w:before="160"/>
      <w:jc w:val="center"/>
    </w:pPr>
    <w:rPr>
      <w:i/>
      <w:iCs/>
      <w:color w:val="404040" w:themeColor="text1" w:themeTint="BF"/>
    </w:rPr>
  </w:style>
  <w:style w:type="character" w:customStyle="1" w:styleId="QuoteChar">
    <w:name w:val="Quote Char"/>
    <w:basedOn w:val="DefaultParagraphFont"/>
    <w:link w:val="Quote"/>
    <w:uiPriority w:val="29"/>
    <w:rsid w:val="00B8519E"/>
    <w:rPr>
      <w:i/>
      <w:iCs/>
      <w:color w:val="404040" w:themeColor="text1" w:themeTint="BF"/>
    </w:rPr>
  </w:style>
  <w:style w:type="paragraph" w:styleId="ListParagraph">
    <w:name w:val="List Paragraph"/>
    <w:basedOn w:val="Normal"/>
    <w:link w:val="ListParagraphChar"/>
    <w:uiPriority w:val="34"/>
    <w:qFormat/>
    <w:rsid w:val="00B8519E"/>
    <w:pPr>
      <w:ind w:left="720"/>
      <w:contextualSpacing/>
    </w:pPr>
  </w:style>
  <w:style w:type="character" w:styleId="IntenseEmphasis">
    <w:name w:val="Intense Emphasis"/>
    <w:basedOn w:val="DefaultParagraphFont"/>
    <w:uiPriority w:val="21"/>
    <w:qFormat/>
    <w:rsid w:val="00B8519E"/>
    <w:rPr>
      <w:i/>
      <w:iCs/>
      <w:color w:val="0F4761" w:themeColor="accent1" w:themeShade="BF"/>
    </w:rPr>
  </w:style>
  <w:style w:type="paragraph" w:styleId="IntenseQuote">
    <w:name w:val="Intense Quote"/>
    <w:basedOn w:val="Normal"/>
    <w:next w:val="Normal"/>
    <w:link w:val="IntenseQuoteChar"/>
    <w:uiPriority w:val="30"/>
    <w:qFormat/>
    <w:rsid w:val="00B85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19E"/>
    <w:rPr>
      <w:i/>
      <w:iCs/>
      <w:color w:val="0F4761" w:themeColor="accent1" w:themeShade="BF"/>
    </w:rPr>
  </w:style>
  <w:style w:type="character" w:styleId="IntenseReference">
    <w:name w:val="Intense Reference"/>
    <w:basedOn w:val="DefaultParagraphFont"/>
    <w:uiPriority w:val="32"/>
    <w:qFormat/>
    <w:rsid w:val="00B8519E"/>
    <w:rPr>
      <w:b/>
      <w:bCs/>
      <w:smallCaps/>
      <w:color w:val="0F4761" w:themeColor="accent1" w:themeShade="BF"/>
      <w:spacing w:val="5"/>
    </w:rPr>
  </w:style>
  <w:style w:type="character" w:customStyle="1" w:styleId="ListParagraphChar">
    <w:name w:val="List Paragraph Char"/>
    <w:link w:val="ListParagraph"/>
    <w:uiPriority w:val="34"/>
    <w:rsid w:val="00B8519E"/>
  </w:style>
  <w:style w:type="paragraph" w:styleId="Header">
    <w:name w:val="header"/>
    <w:basedOn w:val="Normal"/>
    <w:link w:val="HeaderChar"/>
    <w:uiPriority w:val="99"/>
    <w:unhideWhenUsed/>
    <w:rsid w:val="00B8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9E"/>
    <w:rPr>
      <w:sz w:val="22"/>
      <w:szCs w:val="22"/>
    </w:rPr>
  </w:style>
  <w:style w:type="paragraph" w:styleId="Footer">
    <w:name w:val="footer"/>
    <w:basedOn w:val="Normal"/>
    <w:link w:val="FooterChar"/>
    <w:uiPriority w:val="99"/>
    <w:unhideWhenUsed/>
    <w:rsid w:val="00D96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2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666724-00ca-41b5-b6fa-015eacb44368}" enabled="1" method="Privileged" siteId="{b6d3492e-0aa1-4a60-840d-b706a96e670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2823</Characters>
  <Application>Microsoft Office Word</Application>
  <DocSecurity>0</DocSecurity>
  <Lines>112</Lines>
  <Paragraphs>65</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Jonathan</dc:creator>
  <cp:keywords/>
  <dc:description/>
  <cp:lastModifiedBy>Witts, Katherine</cp:lastModifiedBy>
  <cp:revision>2</cp:revision>
  <dcterms:created xsi:type="dcterms:W3CDTF">2026-03-19T15:36:00Z</dcterms:created>
  <dcterms:modified xsi:type="dcterms:W3CDTF">2026-03-19T15:36:00Z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67def5be,11da5aef,993a17a</vt:lpwstr>
  </property>
  <property fmtid="{D5CDD505-2E9C-101B-9397-08002B2CF9AE}" pid="3" name="ClassificationContentMarkingHeaderFontProps">
    <vt:lpwstr>#000000,10,Aptos</vt:lpwstr>
  </property>
  <property fmtid="{D5CDD505-2E9C-101B-9397-08002B2CF9AE}" pid="4" name="ClassificationContentMarkingHeaderText">
    <vt:lpwstr>MEWNOL - INTERNAL</vt:lpwstr>
  </property>
</Properties>
</file>